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B1D8" w14:textId="77777777" w:rsidR="00D36E4E" w:rsidRPr="00D36E4E" w:rsidRDefault="00D36E4E" w:rsidP="00D36E4E">
      <w:pPr>
        <w:ind w:left="1428" w:hanging="1428"/>
        <w:rPr>
          <w:rFonts w:eastAsia="Times New Roman"/>
          <w:kern w:val="0"/>
        </w:rPr>
      </w:pPr>
    </w:p>
    <w:p w14:paraId="3BDE60BE" w14:textId="77777777" w:rsidR="00D36E4E" w:rsidRPr="00D36E4E" w:rsidRDefault="00D36E4E" w:rsidP="00D36E4E">
      <w:pPr>
        <w:jc w:val="center"/>
        <w:rPr>
          <w:rFonts w:eastAsia="Times New Roman"/>
          <w:kern w:val="0"/>
          <w:sz w:val="32"/>
          <w:szCs w:val="32"/>
        </w:rPr>
      </w:pPr>
      <w:r w:rsidRPr="00D36E4E">
        <w:rPr>
          <w:rFonts w:ascii="標楷體" w:eastAsia="標楷體" w:hAnsi="標楷體" w:cs="Gungsuh"/>
          <w:kern w:val="0"/>
          <w:sz w:val="32"/>
          <w:szCs w:val="32"/>
        </w:rPr>
        <w:t>11</w:t>
      </w:r>
      <w:r w:rsidRPr="00D36E4E">
        <w:rPr>
          <w:rFonts w:ascii="標楷體" w:eastAsia="標楷體" w:hAnsi="標楷體" w:cs="Gungsuh" w:hint="eastAsia"/>
          <w:kern w:val="0"/>
          <w:sz w:val="32"/>
          <w:szCs w:val="32"/>
        </w:rPr>
        <w:t>2</w:t>
      </w:r>
      <w:r w:rsidRPr="00D36E4E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1526"/>
        <w:gridCol w:w="467"/>
        <w:gridCol w:w="1928"/>
        <w:gridCol w:w="3469"/>
        <w:gridCol w:w="1969"/>
        <w:gridCol w:w="701"/>
        <w:gridCol w:w="47"/>
        <w:gridCol w:w="47"/>
        <w:gridCol w:w="4034"/>
      </w:tblGrid>
      <w:tr w:rsidR="00D36E4E" w:rsidRPr="00D36E4E" w14:paraId="4DD835C4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5D32387B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6AADB041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14:paraId="244FAB32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海洋守護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14:paraId="1F676120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128" w:type="dxa"/>
            <w:gridSpan w:val="3"/>
            <w:shd w:val="clear" w:color="auto" w:fill="auto"/>
          </w:tcPr>
          <w:p w14:paraId="5C05D8CC" w14:textId="77777777" w:rsidR="00D36E4E" w:rsidRPr="00D36E4E" w:rsidRDefault="00D36E4E" w:rsidP="00D36E4E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■</w:t>
            </w:r>
            <w:r w:rsidRPr="00D36E4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675AF195" w14:textId="77777777" w:rsidR="00D36E4E" w:rsidRPr="00D36E4E" w:rsidRDefault="00D36E4E" w:rsidP="00D36E4E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□</w:t>
            </w:r>
            <w:r w:rsidRPr="00D36E4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26F2DB6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D36E4E" w:rsidRPr="00D36E4E" w14:paraId="2EEB36F6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7A938C3F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09784A3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D36E4E">
              <w:rPr>
                <w:rFonts w:ascii="標楷體" w:eastAsia="標楷體" w:hAnsi="標楷體" w:cs="標楷體"/>
                <w:kern w:val="0"/>
              </w:rPr>
              <w:t>校本課程即學校教師發揮教育專業自主的精神，依據學生需求、學校條件與社區特性，為學生建構有意義且適切的課程。德和國小座落於基隆市郊區，依山傍海，不僅學生、家長受到在地文化的薰陶，擁有豐富的海洋經驗，學校教師亦致力於海洋議題的探究，並利用課餘時間至海洋相關系所進修，希冀能整合本校人力與在地資源，針對各年級不同領域，設計出兼顧橫向與縱向連結的課程。</w:t>
            </w:r>
          </w:p>
          <w:p w14:paraId="66C50204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 xml:space="preserve">　　由於六年級學生的學習重點為思辨海洋環境問題，培養公民意識與實踐公民責任，因此，第一學期規劃[沙灘的小武士]，藉由閱讀環保議題相關報導，引領孩子瞭解海域環境面臨的汙染問題及生態危機；第二學期則規劃[海洋環保小尖兵]，透過參與社區環保計畫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──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外木山淨灘活動，帶領孩子檢視鄰近海域的汙染現象，並實踐公民的環保責任。</w:t>
            </w:r>
          </w:p>
        </w:tc>
      </w:tr>
      <w:tr w:rsidR="00D36E4E" w:rsidRPr="00D36E4E" w14:paraId="2703387F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10A8373D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14:paraId="205BD7A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六年級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14:paraId="7E6D2038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14:paraId="3B79FC8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36E4E">
              <w:rPr>
                <w:rFonts w:ascii="標楷體" w:eastAsia="標楷體" w:hAnsi="標楷體" w:cs="標楷體"/>
                <w:color w:val="000000"/>
                <w:kern w:val="0"/>
              </w:rPr>
              <w:t>上學期10節</w:t>
            </w:r>
          </w:p>
          <w:p w14:paraId="51D9AE5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D36E4E">
              <w:rPr>
                <w:rFonts w:ascii="標楷體" w:eastAsia="標楷體" w:hAnsi="標楷體" w:cs="標楷體"/>
                <w:color w:val="000000"/>
                <w:kern w:val="0"/>
              </w:rPr>
              <w:t>下學期10節</w:t>
            </w:r>
          </w:p>
        </w:tc>
      </w:tr>
      <w:tr w:rsidR="00D36E4E" w:rsidRPr="00D36E4E" w14:paraId="10D7873A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419B2CA4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790C548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一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.配合學校願景：訂定「健康活力、樂愛學習及人文關懷」為校本課程發展方向。</w:t>
            </w:r>
          </w:p>
          <w:p w14:paraId="6913039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二.課程目標:</w:t>
            </w:r>
          </w:p>
          <w:p w14:paraId="197EE97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1.從五年級認識鄉土環境，了解基隆各地魚港的風情，到六年級使學生了解家鄉文化並能夠培養關懷鄉土情懷。</w:t>
            </w:r>
          </w:p>
          <w:p w14:paraId="34CF59F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2.使學生有正當的休閒娛樂，並培養學生正確的人生觀。</w:t>
            </w:r>
          </w:p>
          <w:p w14:paraId="11BC1DF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三.統整自然與生活科技、藝術與人文和社會領域，做跨領域的橫向聯繫學習。</w:t>
            </w:r>
          </w:p>
          <w:p w14:paraId="78D7865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1.自然與生活科技- 知道生活環境中的大氣、大地與水，及它們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彼此間的交互作用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7F4AAFF7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2.藝術與人文- 構思藝術創作的主題與內容，選擇適當的媒體、技法，完成有規劃、有感情及思想的創作。</w:t>
            </w:r>
          </w:p>
          <w:p w14:paraId="6F4DA59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3.社會-列舉地方或區域環境變遷所引發的環境破壞，並提出可能的解決方法。</w:t>
            </w:r>
          </w:p>
        </w:tc>
      </w:tr>
      <w:tr w:rsidR="00D36E4E" w:rsidRPr="00D36E4E" w14:paraId="3C8BB656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376B740B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304F97C6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787E4F3B" w14:textId="77777777" w:rsidR="00D36E4E" w:rsidRPr="00D36E4E" w:rsidRDefault="00D36E4E" w:rsidP="00D36E4E">
            <w:pPr>
              <w:spacing w:before="200" w:after="200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海A2 能思考與分析海洋的特性與影響，並採取行動有效合宜處理海洋生態與環境之問題。</w:t>
            </w:r>
          </w:p>
          <w:p w14:paraId="20B29581" w14:textId="77777777" w:rsidR="00D36E4E" w:rsidRPr="00D36E4E" w:rsidRDefault="00D36E4E" w:rsidP="00D36E4E">
            <w:pPr>
              <w:spacing w:before="200" w:after="200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海B2 能善用資訊、科技等各類媒體，進行海洋與地球資訊探索，進行分析、思辨與批判海洋議題。</w:t>
            </w:r>
          </w:p>
          <w:p w14:paraId="7E1E2E22" w14:textId="77777777" w:rsidR="00D36E4E" w:rsidRPr="00D36E4E" w:rsidRDefault="00D36E4E" w:rsidP="00D36E4E">
            <w:pPr>
              <w:spacing w:before="200" w:after="200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 xml:space="preserve">海C1 能從海洋精神之宏觀、冒險、不畏艱難中，實踐道德的素養，主動關注海洋公共議題，參與海洋的社會活動，  </w:t>
            </w:r>
          </w:p>
          <w:p w14:paraId="66DCB800" w14:textId="77777777" w:rsidR="00D36E4E" w:rsidRPr="00D36E4E" w:rsidRDefault="00D36E4E" w:rsidP="00D36E4E">
            <w:pPr>
              <w:spacing w:before="200" w:after="200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 xml:space="preserve">     關懷自然生態與永續發展。</w:t>
            </w:r>
          </w:p>
        </w:tc>
      </w:tr>
      <w:tr w:rsidR="00D36E4E" w:rsidRPr="00D36E4E" w14:paraId="5F73A481" w14:textId="77777777" w:rsidTr="00741425">
        <w:trPr>
          <w:trHeight w:val="1391"/>
          <w:jc w:val="center"/>
        </w:trPr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56DECF04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學習重點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CB8BB1F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2195" w:type="dxa"/>
            <w:gridSpan w:val="7"/>
            <w:shd w:val="clear" w:color="auto" w:fill="auto"/>
            <w:vAlign w:val="center"/>
          </w:tcPr>
          <w:p w14:paraId="15EF78F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●海E15</w:t>
            </w:r>
          </w:p>
          <w:p w14:paraId="1F007A5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認識家鄉常見的河流與海洋資源，並珍惜自然資源。</w:t>
            </w:r>
          </w:p>
          <w:p w14:paraId="70632B6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●海E16</w:t>
            </w:r>
          </w:p>
          <w:p w14:paraId="27861F83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認識家鄉的水域或海洋的汙染、過漁等環境問題。</w:t>
            </w:r>
          </w:p>
        </w:tc>
      </w:tr>
      <w:tr w:rsidR="00D36E4E" w:rsidRPr="00D36E4E" w14:paraId="6DDE6E5A" w14:textId="77777777" w:rsidTr="00741425">
        <w:trPr>
          <w:trHeight w:val="1391"/>
          <w:jc w:val="center"/>
        </w:trPr>
        <w:tc>
          <w:tcPr>
            <w:tcW w:w="2124" w:type="dxa"/>
            <w:gridSpan w:val="2"/>
            <w:vMerge/>
            <w:shd w:val="clear" w:color="auto" w:fill="auto"/>
            <w:vAlign w:val="center"/>
          </w:tcPr>
          <w:p w14:paraId="727AC060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332912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2195" w:type="dxa"/>
            <w:gridSpan w:val="7"/>
            <w:shd w:val="clear" w:color="auto" w:fill="auto"/>
          </w:tcPr>
          <w:p w14:paraId="47BB7DAB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一、可以簡略的說明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潮間帶的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定義。</w:t>
            </w:r>
          </w:p>
          <w:p w14:paraId="7ED0D2B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二、能了解鯨魚的生活環境、習性及身體構造。</w:t>
            </w:r>
          </w:p>
          <w:p w14:paraId="2C30051B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三、知道利用海洋資源面臨的問題及解決方法。</w:t>
            </w:r>
          </w:p>
          <w:p w14:paraId="49409BD3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四、參與社區中環保活動或環保計劃，並分享成果。</w:t>
            </w:r>
          </w:p>
          <w:p w14:paraId="4EA6BE46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五、體會團隊合作的意義，並能關懷團隊的成員</w:t>
            </w:r>
          </w:p>
        </w:tc>
      </w:tr>
      <w:tr w:rsidR="00D36E4E" w:rsidRPr="00D36E4E" w14:paraId="4C4930F5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093C5441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6A790845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(1)讓孩子的肢體能充分活動與發展，培養喜歡運動的興趣與習慣，能擁有健康的身心，讓每天都充滿精神與活力。</w:t>
            </w:r>
          </w:p>
          <w:p w14:paraId="403F23EC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(2)帶領孩子親近海洋、認識海洋，並喚起關心海洋生態環境的意識，進而以實際行動愛護海洋。</w:t>
            </w:r>
          </w:p>
          <w:p w14:paraId="5151DAF1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(3)培養尊重同理及關心他人的態度，能夠主動助人、與他人分享，並願意採取行動關懷弱勢。</w:t>
            </w:r>
          </w:p>
        </w:tc>
      </w:tr>
      <w:tr w:rsidR="00D36E4E" w:rsidRPr="00D36E4E" w14:paraId="33AB4D9C" w14:textId="77777777" w:rsidTr="00741425">
        <w:trPr>
          <w:trHeight w:val="730"/>
          <w:jc w:val="center"/>
        </w:trPr>
        <w:tc>
          <w:tcPr>
            <w:tcW w:w="2124" w:type="dxa"/>
            <w:gridSpan w:val="2"/>
            <w:shd w:val="clear" w:color="auto" w:fill="auto"/>
          </w:tcPr>
          <w:p w14:paraId="2EE805F0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1638A759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662" w:type="dxa"/>
            <w:gridSpan w:val="8"/>
            <w:shd w:val="clear" w:color="auto" w:fill="auto"/>
            <w:vAlign w:val="center"/>
          </w:tcPr>
          <w:p w14:paraId="1678CF0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分組報告、實作評量、學習單評量、海報實作、聆聽態度及紙筆測驗。</w:t>
            </w:r>
          </w:p>
        </w:tc>
      </w:tr>
      <w:tr w:rsidR="00D36E4E" w:rsidRPr="00D36E4E" w14:paraId="1A6E9686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4DCD1C22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學習進度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次/節次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BD229C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單元/子題</w:t>
            </w:r>
          </w:p>
        </w:tc>
        <w:tc>
          <w:tcPr>
            <w:tcW w:w="6186" w:type="dxa"/>
            <w:gridSpan w:val="4"/>
            <w:shd w:val="clear" w:color="auto" w:fill="auto"/>
            <w:vAlign w:val="center"/>
          </w:tcPr>
          <w:p w14:paraId="02E5A7D9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3F64D5E5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D36E4E" w:rsidRPr="00D36E4E" w14:paraId="76685DCF" w14:textId="77777777" w:rsidTr="00741425">
        <w:trPr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1F91657A" w14:textId="77777777" w:rsidR="00D36E4E" w:rsidRPr="00D36E4E" w:rsidRDefault="00D36E4E" w:rsidP="00D36E4E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第一學期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C826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6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1095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沙灘上的小武士-</w:t>
            </w:r>
          </w:p>
          <w:p w14:paraId="0865CF24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潮來潮往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44C8559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1.能說明月亮、地球與太陽自轉公轉的關係。</w:t>
            </w:r>
          </w:p>
          <w:p w14:paraId="548886E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2.可以簡略的說明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潮間帶的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定義。</w:t>
            </w:r>
          </w:p>
          <w:p w14:paraId="14AD22B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3.可以具體操作星體的運轉。</w:t>
            </w:r>
          </w:p>
          <w:p w14:paraId="5119A08B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4.從操作中明白星體與潮汐的關係。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DB1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分組報告</w:t>
            </w:r>
          </w:p>
          <w:p w14:paraId="705134E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實作評量</w:t>
            </w:r>
          </w:p>
        </w:tc>
      </w:tr>
      <w:tr w:rsidR="00D36E4E" w:rsidRPr="00D36E4E" w14:paraId="064D3AB4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CE3B5D4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6C34195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D36E4E">
              <w:rPr>
                <w:rFonts w:ascii="標楷體" w:eastAsia="標楷體" w:hAnsi="標楷體" w:cs="標楷體"/>
                <w:kern w:val="0"/>
              </w:rPr>
              <w:t>、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7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BB7DA7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沙灘上的小武士-</w:t>
            </w:r>
          </w:p>
          <w:p w14:paraId="0745630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海陸總動員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0BF3A10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1.對於教師投影片的介紹能專心傾聽並做出回應。</w:t>
            </w:r>
          </w:p>
          <w:p w14:paraId="1C75AC4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2.能認真完成學習單。</w:t>
            </w:r>
          </w:p>
          <w:p w14:paraId="695F5A70" w14:textId="77777777" w:rsidR="00D36E4E" w:rsidRPr="00D36E4E" w:rsidRDefault="00D36E4E" w:rsidP="00D36E4E">
            <w:pPr>
              <w:ind w:left="26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3.能將老師講過的、網路查到的、書本找到的相關資料彙整，並能口頭報告出來。</w:t>
            </w:r>
          </w:p>
          <w:p w14:paraId="0A1D667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4.對於別人的報告或學習單有疑問時，能提出問題 或自己見解。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91C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分組討論</w:t>
            </w:r>
          </w:p>
          <w:p w14:paraId="15B971B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學習單評量</w:t>
            </w:r>
          </w:p>
        </w:tc>
      </w:tr>
      <w:tr w:rsidR="00D36E4E" w:rsidRPr="00D36E4E" w14:paraId="5719F06F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BD1B31A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6D0D0A1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7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3E05E5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沙灘上的小武士-</w:t>
            </w:r>
          </w:p>
          <w:p w14:paraId="3190361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環保急先鋒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04785F03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1.對於別人的報告能專心傾聽並做出回應。</w:t>
            </w:r>
          </w:p>
          <w:p w14:paraId="18E1A83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2.能專心傾聽教師統整海洋污染現象。</w:t>
            </w:r>
          </w:p>
          <w:p w14:paraId="23FF33A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3.能尊重各人不同的想法，並取得共識。</w:t>
            </w:r>
          </w:p>
          <w:p w14:paraId="106E4AB1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4.小組能合作完成標語海報之設計。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2FC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分組討論海報實作</w:t>
            </w:r>
          </w:p>
        </w:tc>
      </w:tr>
      <w:tr w:rsidR="00D36E4E" w:rsidRPr="00D36E4E" w14:paraId="6FC9D411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929B801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084C47E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9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0731694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沙灘上的小武士-「鯨」濤駭浪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4A35E88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bookmarkStart w:id="0" w:name="bookmark=id.30j0zll" w:colFirst="0" w:colLast="0"/>
            <w:bookmarkEnd w:id="0"/>
            <w:r w:rsidRPr="00D36E4E">
              <w:rPr>
                <w:rFonts w:ascii="標楷體" w:eastAsia="標楷體" w:hAnsi="標楷體" w:cs="標楷體"/>
                <w:kern w:val="0"/>
              </w:rPr>
              <w:t>1.能了解鯨魚的生活環境、習性及身體構造。</w:t>
            </w:r>
          </w:p>
          <w:p w14:paraId="11268F2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2.能了解鯨魚和環境的互動關係。</w:t>
            </w:r>
          </w:p>
          <w:p w14:paraId="0F4EE50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3.能設計並落實保育計畫於日常生活中。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E0F4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實作評量</w:t>
            </w:r>
          </w:p>
        </w:tc>
      </w:tr>
      <w:tr w:rsidR="00D36E4E" w:rsidRPr="00D36E4E" w14:paraId="4263245B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CD991CE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1BB489B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第1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0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8DD21B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沙灘上的小武士-保護海洋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我最行</w:t>
            </w:r>
            <w:proofErr w:type="gramEnd"/>
          </w:p>
        </w:tc>
        <w:tc>
          <w:tcPr>
            <w:tcW w:w="6186" w:type="dxa"/>
            <w:gridSpan w:val="4"/>
            <w:shd w:val="clear" w:color="auto" w:fill="auto"/>
          </w:tcPr>
          <w:p w14:paraId="56629D21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1.知道利用海洋資源面臨的問題及解決方法。</w:t>
            </w:r>
          </w:p>
          <w:p w14:paraId="2032D16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2.能激發對資源永續利用的情操。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60A3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分組報告</w:t>
            </w:r>
          </w:p>
        </w:tc>
      </w:tr>
      <w:tr w:rsidR="00D36E4E" w:rsidRPr="00D36E4E" w14:paraId="7C036E94" w14:textId="77777777" w:rsidTr="00741425">
        <w:trPr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70769A69" w14:textId="77777777" w:rsidR="00D36E4E" w:rsidRPr="00D36E4E" w:rsidRDefault="00D36E4E" w:rsidP="00D36E4E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第二學期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10EA8CE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5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A6EA7A5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海洋環保小尖兵-我是海洋小英雄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022269B8" w14:textId="77777777" w:rsidR="00D36E4E" w:rsidRPr="00D36E4E" w:rsidRDefault="00D36E4E" w:rsidP="00D36E4E">
            <w:pPr>
              <w:ind w:left="391" w:right="57" w:hanging="338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1.體會參與社會服務的意義。</w:t>
            </w:r>
          </w:p>
          <w:p w14:paraId="7D3E663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2.參與社區中環保活動或環保計劃，並分享成果。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834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分組討論</w:t>
            </w:r>
          </w:p>
          <w:p w14:paraId="228C50C6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實作評量</w:t>
            </w:r>
          </w:p>
        </w:tc>
      </w:tr>
      <w:tr w:rsidR="00D36E4E" w:rsidRPr="00D36E4E" w14:paraId="17BEC56A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AB61BE1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75840CF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5、6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FBB1645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海洋環保小尖兵-海洋樂園-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沙中雕堡</w:t>
            </w:r>
            <w:proofErr w:type="gramEnd"/>
          </w:p>
        </w:tc>
        <w:tc>
          <w:tcPr>
            <w:tcW w:w="6186" w:type="dxa"/>
            <w:gridSpan w:val="4"/>
            <w:shd w:val="clear" w:color="auto" w:fill="auto"/>
          </w:tcPr>
          <w:p w14:paraId="47524370" w14:textId="77777777" w:rsidR="00D36E4E" w:rsidRPr="00D36E4E" w:rsidRDefault="00D36E4E" w:rsidP="00D36E4E">
            <w:pPr>
              <w:ind w:left="396" w:right="57" w:hanging="338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1.體會團隊合作的意義，並能關懷團隊的成員。</w:t>
            </w:r>
          </w:p>
          <w:p w14:paraId="39F1E89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2.相互欣賞同儕間視覺、聽覺、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動覺的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藝術作品，並能描述個人感受及對他人創作的見解。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DEF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分組討論</w:t>
            </w:r>
          </w:p>
          <w:p w14:paraId="6E99A794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分組報告</w:t>
            </w:r>
          </w:p>
        </w:tc>
      </w:tr>
      <w:tr w:rsidR="00D36E4E" w:rsidRPr="00D36E4E" w14:paraId="00BDE93B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CA835AC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C1FC9DF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6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A90474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海洋環保小尖兵-寶貝心得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6C0C4643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1.對於別人的分享能專心傾聽。</w:t>
            </w:r>
          </w:p>
          <w:p w14:paraId="2DF06AC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2.能將同學們的分享加以整理、歸納重點。</w:t>
            </w:r>
          </w:p>
          <w:p w14:paraId="7B3C560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3.能完成一篇學習心得。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950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完成報告</w:t>
            </w:r>
          </w:p>
          <w:p w14:paraId="0809F30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聆聽報告</w:t>
            </w:r>
          </w:p>
        </w:tc>
      </w:tr>
      <w:tr w:rsidR="00D36E4E" w:rsidRPr="00D36E4E" w14:paraId="54072148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0A9360F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68B84B6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7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16F265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海洋環保小尖兵-我是海上男兒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501F1FF7" w14:textId="77777777" w:rsidR="00D36E4E" w:rsidRPr="00D36E4E" w:rsidRDefault="00D36E4E" w:rsidP="00D36E4E">
            <w:pPr>
              <w:tabs>
                <w:tab w:val="left" w:pos="142"/>
              </w:tabs>
              <w:ind w:left="396" w:right="57" w:hanging="338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1.了解各種捕魚方式。</w:t>
            </w:r>
          </w:p>
          <w:p w14:paraId="551A157B" w14:textId="77777777" w:rsidR="00D36E4E" w:rsidRPr="00D36E4E" w:rsidRDefault="00D36E4E" w:rsidP="00D36E4E">
            <w:pPr>
              <w:ind w:left="396" w:right="57" w:hanging="338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2.了解各種不當捕魚方法。</w:t>
            </w:r>
          </w:p>
          <w:p w14:paraId="64B6E5D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3.了解生態平衡。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B1B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口頭報告</w:t>
            </w:r>
          </w:p>
          <w:p w14:paraId="3159907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聆聽態度</w:t>
            </w:r>
          </w:p>
        </w:tc>
      </w:tr>
      <w:tr w:rsidR="00D36E4E" w:rsidRPr="00D36E4E" w14:paraId="2F6A552C" w14:textId="77777777" w:rsidTr="00741425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3094A604" w14:textId="77777777" w:rsidR="00D36E4E" w:rsidRPr="00D36E4E" w:rsidRDefault="00D36E4E" w:rsidP="00D36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1B1BFA5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第</w:t>
            </w:r>
            <w:r w:rsidRPr="00D36E4E">
              <w:rPr>
                <w:rFonts w:ascii="標楷體" w:eastAsia="標楷體" w:hAnsi="標楷體" w:cs="標楷體" w:hint="eastAsia"/>
                <w:kern w:val="0"/>
              </w:rPr>
              <w:t>8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11EEC4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海洋環保小尖兵-消</w:t>
            </w: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失的陸地</w:t>
            </w:r>
          </w:p>
        </w:tc>
        <w:tc>
          <w:tcPr>
            <w:tcW w:w="6186" w:type="dxa"/>
            <w:gridSpan w:val="4"/>
            <w:shd w:val="clear" w:color="auto" w:fill="auto"/>
          </w:tcPr>
          <w:p w14:paraId="6A01962A" w14:textId="77777777" w:rsidR="00D36E4E" w:rsidRPr="00D36E4E" w:rsidRDefault="00D36E4E" w:rsidP="00D36E4E">
            <w:pPr>
              <w:ind w:left="396" w:right="57" w:hanging="338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1.能了解造成全球暖化的原因。</w:t>
            </w:r>
          </w:p>
          <w:p w14:paraId="59EAB59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2.能確實檢視自身節約能源的行為。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C7D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分組報告</w:t>
            </w:r>
          </w:p>
          <w:p w14:paraId="3C0F3B7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紙筆評量</w:t>
            </w:r>
          </w:p>
        </w:tc>
      </w:tr>
      <w:tr w:rsidR="00D36E4E" w:rsidRPr="00D36E4E" w14:paraId="45D33C93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1D525141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議題融入實施內涵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7A03DD09" w14:textId="77777777" w:rsidR="00D36E4E" w:rsidRPr="00D36E4E" w:rsidRDefault="00D36E4E" w:rsidP="00D36E4E">
            <w:pPr>
              <w:spacing w:before="200" w:line="200" w:lineRule="auto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●性別平等教育</w:t>
            </w:r>
          </w:p>
          <w:p w14:paraId="0143ABD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1-3-6學習獨立思考，不受性別影響。</w:t>
            </w:r>
          </w:p>
          <w:p w14:paraId="1C241D77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2-3-2學習</w:t>
            </w:r>
            <w:proofErr w:type="gramStart"/>
            <w:r w:rsidRPr="00D36E4E">
              <w:rPr>
                <w:rFonts w:ascii="標楷體" w:eastAsia="標楷體" w:hAnsi="標楷體" w:cs="標楷體"/>
                <w:kern w:val="0"/>
              </w:rPr>
              <w:t>兩性間的互動</w:t>
            </w:r>
            <w:proofErr w:type="gramEnd"/>
            <w:r w:rsidRPr="00D36E4E">
              <w:rPr>
                <w:rFonts w:ascii="標楷體" w:eastAsia="標楷體" w:hAnsi="標楷體" w:cs="標楷體"/>
                <w:kern w:val="0"/>
              </w:rPr>
              <w:t>與合作。</w:t>
            </w:r>
          </w:p>
          <w:p w14:paraId="308B2737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2-3-4參與適合兩性共同成長的終身學習活動。</w:t>
            </w:r>
          </w:p>
          <w:p w14:paraId="656C24C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2-3-5學習兩性團隊合作，積極參與活動。</w:t>
            </w:r>
          </w:p>
          <w:p w14:paraId="00CD07C3" w14:textId="77777777" w:rsidR="00D36E4E" w:rsidRPr="00D36E4E" w:rsidRDefault="00D36E4E" w:rsidP="00D36E4E">
            <w:pPr>
              <w:spacing w:before="200" w:line="200" w:lineRule="auto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●資訊教育</w:t>
            </w:r>
          </w:p>
          <w:p w14:paraId="54AF6482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4-3-2能找到合適的網站資源、圖書館資源及檔案傳輸等。</w:t>
            </w:r>
          </w:p>
          <w:p w14:paraId="67AFB08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4-3-3能利用資訊科技媒體等搜尋需要的資料。</w:t>
            </w:r>
          </w:p>
          <w:p w14:paraId="5A154161" w14:textId="77777777" w:rsidR="00D36E4E" w:rsidRPr="00D36E4E" w:rsidRDefault="00D36E4E" w:rsidP="00D36E4E">
            <w:pPr>
              <w:spacing w:before="200" w:line="200" w:lineRule="auto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●環境教育</w:t>
            </w:r>
          </w:p>
          <w:p w14:paraId="7C7A017F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4-3-2 能客觀中立的提供各種辯證，並虛心的接受別人的指正。</w:t>
            </w:r>
          </w:p>
          <w:p w14:paraId="6F986E7A" w14:textId="77777777" w:rsidR="00D36E4E" w:rsidRPr="00D36E4E" w:rsidRDefault="00D36E4E" w:rsidP="00D36E4E">
            <w:pPr>
              <w:spacing w:before="200" w:line="200" w:lineRule="auto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4-3-5 能運用科學工具去鑑別、分析、瞭解周遭的環境狀況與變遷。</w:t>
            </w:r>
          </w:p>
        </w:tc>
      </w:tr>
      <w:tr w:rsidR="00D36E4E" w:rsidRPr="00D36E4E" w14:paraId="251E68D7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53C7AFCA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評量規劃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2EAFB0C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作品實作、資料蒐集、口頭發表、簡報說明</w:t>
            </w:r>
          </w:p>
        </w:tc>
      </w:tr>
      <w:tr w:rsidR="00D36E4E" w:rsidRPr="00D36E4E" w14:paraId="5CDC7CE0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1AA8B4B5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55294ADC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環境：教室教學情境布置、海岸實境</w:t>
            </w:r>
          </w:p>
          <w:p w14:paraId="2C29C23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教學設備：單槍投影機、教師自製教學PPT</w:t>
            </w:r>
          </w:p>
          <w:p w14:paraId="590CD88D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學生先備基礎：對海洋環境的基本認識</w:t>
            </w:r>
          </w:p>
        </w:tc>
      </w:tr>
      <w:tr w:rsidR="00D36E4E" w:rsidRPr="00D36E4E" w14:paraId="0BAE1B14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11AF8D8C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7833" w:type="dxa"/>
            <w:gridSpan w:val="4"/>
            <w:shd w:val="clear" w:color="auto" w:fill="auto"/>
          </w:tcPr>
          <w:p w14:paraId="16D5E41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自編</w:t>
            </w:r>
          </w:p>
          <w:p w14:paraId="269D057A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網路資料蒐集</w:t>
            </w:r>
          </w:p>
          <w:p w14:paraId="70E7E41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交通部氣象局30天潮汐預報網站</w:t>
            </w:r>
            <w:hyperlink r:id="rId7">
              <w:r w:rsidRPr="00D36E4E">
                <w:rPr>
                  <w:rFonts w:ascii="標楷體" w:eastAsia="標楷體" w:hAnsi="標楷體" w:cs="標楷體"/>
                  <w:color w:val="0563C1"/>
                  <w:kern w:val="0"/>
                  <w:u w:val="single"/>
                </w:rPr>
                <w:t>https://www.cwb.gov.tw/V8/C/M/Fishery/tide_30day_MOD/T001701.html</w:t>
              </w:r>
            </w:hyperlink>
          </w:p>
          <w:p w14:paraId="0B267790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台灣網路科教館</w:t>
            </w:r>
          </w:p>
          <w:p w14:paraId="5DC5991E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hyperlink r:id="rId8">
              <w:r w:rsidRPr="00D36E4E">
                <w:rPr>
                  <w:rFonts w:ascii="標楷體" w:eastAsia="標楷體" w:hAnsi="標楷體" w:cs="標楷體"/>
                  <w:color w:val="0563C1"/>
                  <w:kern w:val="0"/>
                  <w:u w:val="single"/>
                </w:rPr>
                <w:t>https://www.ntsec.edu.tw/LiveSupply-Content.aspx?cat=6841&amp;a=0&amp;fld=&amp;key=&amp;isd=1&amp;icop=10&amp;p=1&amp;lsid=6857</w:t>
              </w:r>
            </w:hyperlink>
          </w:p>
        </w:tc>
        <w:tc>
          <w:tcPr>
            <w:tcW w:w="795" w:type="dxa"/>
            <w:gridSpan w:val="3"/>
            <w:shd w:val="clear" w:color="auto" w:fill="auto"/>
          </w:tcPr>
          <w:p w14:paraId="008FEA85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034" w:type="dxa"/>
            <w:shd w:val="clear" w:color="auto" w:fill="auto"/>
          </w:tcPr>
          <w:p w14:paraId="2C24A2E5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六年級教師群、</w:t>
            </w:r>
          </w:p>
          <w:p w14:paraId="1489F5F9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學校海洋領域推行小組</w:t>
            </w:r>
          </w:p>
        </w:tc>
      </w:tr>
      <w:tr w:rsidR="00D36E4E" w:rsidRPr="00D36E4E" w14:paraId="5801A02F" w14:textId="77777777" w:rsidTr="00741425">
        <w:trPr>
          <w:jc w:val="center"/>
        </w:trPr>
        <w:tc>
          <w:tcPr>
            <w:tcW w:w="2124" w:type="dxa"/>
            <w:gridSpan w:val="2"/>
            <w:shd w:val="clear" w:color="auto" w:fill="auto"/>
            <w:vAlign w:val="center"/>
          </w:tcPr>
          <w:p w14:paraId="31518048" w14:textId="77777777" w:rsidR="00D36E4E" w:rsidRPr="00D36E4E" w:rsidRDefault="00D36E4E" w:rsidP="00D36E4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lastRenderedPageBreak/>
              <w:t>備註</w:t>
            </w:r>
          </w:p>
        </w:tc>
        <w:tc>
          <w:tcPr>
            <w:tcW w:w="12662" w:type="dxa"/>
            <w:gridSpan w:val="8"/>
            <w:shd w:val="clear" w:color="auto" w:fill="auto"/>
          </w:tcPr>
          <w:p w14:paraId="1EB31A38" w14:textId="77777777" w:rsidR="00D36E4E" w:rsidRPr="00D36E4E" w:rsidRDefault="00D36E4E" w:rsidP="00D36E4E">
            <w:pPr>
              <w:rPr>
                <w:rFonts w:ascii="標楷體" w:eastAsia="標楷體" w:hAnsi="標楷體" w:cs="標楷體"/>
                <w:kern w:val="0"/>
              </w:rPr>
            </w:pPr>
            <w:r w:rsidRPr="00D36E4E">
              <w:rPr>
                <w:rFonts w:ascii="標楷體" w:eastAsia="標楷體" w:hAnsi="標楷體" w:cs="標楷體"/>
                <w:kern w:val="0"/>
              </w:rPr>
              <w:t>戶外活動日期視天候做彈性調整。</w:t>
            </w:r>
          </w:p>
        </w:tc>
      </w:tr>
    </w:tbl>
    <w:p w14:paraId="690D05CE" w14:textId="516B185B" w:rsidR="007774C9" w:rsidRPr="00D36E4E" w:rsidRDefault="00D36E4E" w:rsidP="00D36E4E">
      <w:r w:rsidRPr="00D36E4E">
        <w:rPr>
          <w:rFonts w:ascii="Calibri" w:hAnsi="Calibri" w:cs="Calibri"/>
          <w:kern w:val="0"/>
        </w:rPr>
        <w:br w:type="page"/>
      </w:r>
      <w:bookmarkStart w:id="1" w:name="_GoBack"/>
      <w:bookmarkEnd w:id="1"/>
    </w:p>
    <w:sectPr w:rsidR="007774C9" w:rsidRPr="00D36E4E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DE86" w14:textId="77777777" w:rsidR="00F1119E" w:rsidRDefault="00F1119E" w:rsidP="00F1119E">
      <w:r>
        <w:separator/>
      </w:r>
    </w:p>
  </w:endnote>
  <w:endnote w:type="continuationSeparator" w:id="0">
    <w:p w14:paraId="77778BBE" w14:textId="77777777" w:rsidR="00F1119E" w:rsidRDefault="00F1119E" w:rsidP="00F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63FC" w14:textId="77777777" w:rsidR="00F1119E" w:rsidRDefault="00F1119E" w:rsidP="00F1119E">
      <w:r>
        <w:separator/>
      </w:r>
    </w:p>
  </w:footnote>
  <w:footnote w:type="continuationSeparator" w:id="0">
    <w:p w14:paraId="0026CA92" w14:textId="77777777" w:rsidR="00F1119E" w:rsidRDefault="00F1119E" w:rsidP="00F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C71"/>
    <w:multiLevelType w:val="multilevel"/>
    <w:tmpl w:val="E434426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9DA"/>
    <w:multiLevelType w:val="multilevel"/>
    <w:tmpl w:val="97B696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FA114CE"/>
    <w:multiLevelType w:val="multilevel"/>
    <w:tmpl w:val="C1CC61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4721A"/>
    <w:multiLevelType w:val="multilevel"/>
    <w:tmpl w:val="4D46CA12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763936"/>
    <w:multiLevelType w:val="multilevel"/>
    <w:tmpl w:val="23FA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F7D23"/>
    <w:multiLevelType w:val="multilevel"/>
    <w:tmpl w:val="FED6E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B70DB"/>
    <w:multiLevelType w:val="multilevel"/>
    <w:tmpl w:val="8FB6A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A1F16"/>
    <w:multiLevelType w:val="multilevel"/>
    <w:tmpl w:val="87568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B02EB"/>
    <w:multiLevelType w:val="multilevel"/>
    <w:tmpl w:val="34B0B28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7E1254"/>
    <w:multiLevelType w:val="multilevel"/>
    <w:tmpl w:val="AC76AFC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270CEE"/>
    <w:multiLevelType w:val="multilevel"/>
    <w:tmpl w:val="39802CCC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581950"/>
    <w:multiLevelType w:val="multilevel"/>
    <w:tmpl w:val="8B1C4CCE"/>
    <w:lvl w:ilvl="0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741D92"/>
    <w:multiLevelType w:val="multilevel"/>
    <w:tmpl w:val="5C14F7F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646194"/>
    <w:multiLevelType w:val="multilevel"/>
    <w:tmpl w:val="6602B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A02835"/>
    <w:multiLevelType w:val="multilevel"/>
    <w:tmpl w:val="7F486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ED4292"/>
    <w:multiLevelType w:val="multilevel"/>
    <w:tmpl w:val="312CEC0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E86638"/>
    <w:multiLevelType w:val="multilevel"/>
    <w:tmpl w:val="75A00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3"/>
  </w:num>
  <w:num w:numId="5">
    <w:abstractNumId w:val="18"/>
  </w:num>
  <w:num w:numId="6">
    <w:abstractNumId w:val="14"/>
  </w:num>
  <w:num w:numId="7">
    <w:abstractNumId w:val="25"/>
  </w:num>
  <w:num w:numId="8">
    <w:abstractNumId w:val="21"/>
  </w:num>
  <w:num w:numId="9">
    <w:abstractNumId w:val="20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16"/>
  </w:num>
  <w:num w:numId="15">
    <w:abstractNumId w:val="17"/>
  </w:num>
  <w:num w:numId="16">
    <w:abstractNumId w:val="1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"/>
  </w:num>
  <w:num w:numId="22">
    <w:abstractNumId w:val="22"/>
  </w:num>
  <w:num w:numId="23">
    <w:abstractNumId w:val="6"/>
  </w:num>
  <w:num w:numId="24">
    <w:abstractNumId w:val="9"/>
  </w:num>
  <w:num w:numId="25">
    <w:abstractNumId w:val="24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456986"/>
    <w:rsid w:val="007774C9"/>
    <w:rsid w:val="009602BE"/>
    <w:rsid w:val="00B84AAE"/>
    <w:rsid w:val="00B8569F"/>
    <w:rsid w:val="00BB3D0C"/>
    <w:rsid w:val="00D36E4E"/>
    <w:rsid w:val="00ED70F6"/>
    <w:rsid w:val="00F1119E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sec.edu.tw/LiveSupply-Content.aspx?cat=6841&amp;a=0&amp;fld=&amp;key=&amp;isd=1&amp;icop=10&amp;p=1&amp;lsid=68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wb.gov.tw/V8/C/M/Fishery/tide_30day_MOD/T0017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2024-05-02T01:56:00Z</dcterms:created>
  <dcterms:modified xsi:type="dcterms:W3CDTF">2024-05-02T01:56:00Z</dcterms:modified>
</cp:coreProperties>
</file>